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84" w:rsidRPr="009E3AC7" w:rsidRDefault="00B430E2" w:rsidP="001D1384">
      <w:pPr>
        <w:pStyle w:val="Default"/>
        <w:ind w:left="360" w:hanging="360"/>
        <w:jc w:val="center"/>
        <w:rPr>
          <w:b/>
          <w:sz w:val="28"/>
          <w:szCs w:val="28"/>
        </w:rPr>
      </w:pPr>
      <w:r w:rsidRPr="009E3AC7">
        <w:rPr>
          <w:b/>
          <w:sz w:val="28"/>
          <w:szCs w:val="28"/>
        </w:rPr>
        <w:t>TITLE</w:t>
      </w:r>
      <w:r>
        <w:rPr>
          <w:b/>
          <w:sz w:val="28"/>
          <w:szCs w:val="28"/>
        </w:rPr>
        <w:t xml:space="preserve"> OF THE THESIS</w:t>
      </w:r>
    </w:p>
    <w:p w:rsidR="001D1384" w:rsidRPr="009E3AC7" w:rsidRDefault="001D1384" w:rsidP="001D1384">
      <w:pPr>
        <w:pStyle w:val="Default"/>
        <w:ind w:left="360" w:hanging="360"/>
        <w:jc w:val="center"/>
        <w:rPr>
          <w:b/>
          <w:sz w:val="28"/>
          <w:szCs w:val="28"/>
        </w:rPr>
      </w:pPr>
    </w:p>
    <w:p w:rsidR="001D1384" w:rsidRPr="009E3AC7" w:rsidRDefault="001D1384" w:rsidP="001D1384">
      <w:pPr>
        <w:pStyle w:val="Default"/>
        <w:ind w:left="360" w:hanging="360"/>
        <w:jc w:val="center"/>
        <w:rPr>
          <w:b/>
          <w:sz w:val="28"/>
          <w:szCs w:val="28"/>
        </w:rPr>
      </w:pPr>
    </w:p>
    <w:p w:rsidR="001D1384" w:rsidRPr="009E3AC7" w:rsidRDefault="001D1384" w:rsidP="001D1384">
      <w:pPr>
        <w:pStyle w:val="Default"/>
        <w:ind w:left="360" w:hanging="360"/>
        <w:jc w:val="center"/>
        <w:rPr>
          <w:b/>
          <w:sz w:val="28"/>
          <w:szCs w:val="28"/>
        </w:rPr>
      </w:pPr>
      <w:r w:rsidRPr="009E3AC7">
        <w:rPr>
          <w:b/>
          <w:noProof/>
          <w:sz w:val="28"/>
          <w:szCs w:val="28"/>
          <w:lang w:eastAsia="en-IN"/>
        </w:rPr>
        <w:drawing>
          <wp:inline distT="0" distB="0" distL="0" distR="0">
            <wp:extent cx="1834784" cy="890547"/>
            <wp:effectExtent l="19050" t="0" r="0" b="0"/>
            <wp:docPr id="5" name="Picture 3"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ew"/>
                    <pic:cNvPicPr>
                      <a:picLocks noChangeAspect="1" noChangeArrowheads="1"/>
                    </pic:cNvPicPr>
                  </pic:nvPicPr>
                  <pic:blipFill>
                    <a:blip r:embed="rId7"/>
                    <a:srcRect/>
                    <a:stretch>
                      <a:fillRect/>
                    </a:stretch>
                  </pic:blipFill>
                  <pic:spPr bwMode="auto">
                    <a:xfrm>
                      <a:off x="0" y="0"/>
                      <a:ext cx="1833871" cy="890104"/>
                    </a:xfrm>
                    <a:prstGeom prst="rect">
                      <a:avLst/>
                    </a:prstGeom>
                    <a:noFill/>
                    <a:ln w="9525">
                      <a:noFill/>
                      <a:miter lim="800000"/>
                      <a:headEnd/>
                      <a:tailEnd/>
                    </a:ln>
                  </pic:spPr>
                </pic:pic>
              </a:graphicData>
            </a:graphic>
          </wp:inline>
        </w:drawing>
      </w:r>
    </w:p>
    <w:p w:rsidR="001D1384" w:rsidRPr="009E3AC7" w:rsidRDefault="001D1384" w:rsidP="001D1384">
      <w:pPr>
        <w:pStyle w:val="Default"/>
        <w:ind w:left="360" w:hanging="360"/>
        <w:jc w:val="center"/>
        <w:rPr>
          <w:b/>
          <w:sz w:val="28"/>
          <w:szCs w:val="28"/>
        </w:rPr>
      </w:pPr>
    </w:p>
    <w:p w:rsidR="001D1384" w:rsidRPr="009E3AC7" w:rsidRDefault="001D1384" w:rsidP="001D1384">
      <w:pPr>
        <w:pStyle w:val="Default"/>
        <w:ind w:left="360" w:hanging="360"/>
        <w:jc w:val="center"/>
        <w:rPr>
          <w:b/>
          <w:sz w:val="28"/>
          <w:szCs w:val="28"/>
        </w:rPr>
      </w:pPr>
    </w:p>
    <w:p w:rsidR="001D1384" w:rsidRPr="009E3AC7" w:rsidRDefault="001D1384" w:rsidP="001D1384">
      <w:pPr>
        <w:pStyle w:val="Default"/>
        <w:ind w:left="360" w:hanging="360"/>
        <w:jc w:val="center"/>
      </w:pPr>
    </w:p>
    <w:p w:rsidR="001D1384" w:rsidRPr="009E3AC7" w:rsidRDefault="001D1384" w:rsidP="001D1384">
      <w:pPr>
        <w:pStyle w:val="Default"/>
        <w:tabs>
          <w:tab w:val="left" w:pos="3550"/>
        </w:tabs>
        <w:jc w:val="center"/>
      </w:pPr>
      <w:r w:rsidRPr="009E3AC7">
        <w:rPr>
          <w:rFonts w:eastAsia="Arial Unicode MS"/>
        </w:rPr>
        <w:t>A</w:t>
      </w:r>
      <w:r>
        <w:rPr>
          <w:rFonts w:eastAsia="Arial Unicode MS"/>
        </w:rPr>
        <w:t xml:space="preserve"> Review of Literature</w:t>
      </w:r>
      <w:r w:rsidRPr="009E3AC7">
        <w:rPr>
          <w:rFonts w:eastAsia="Arial Unicode MS"/>
        </w:rPr>
        <w:t xml:space="preserve"> Submitted to Mandsaur University, Mandsaur As a requirement for the Award of </w:t>
      </w:r>
      <w:r>
        <w:rPr>
          <w:rFonts w:eastAsia="Arial Unicode MS"/>
        </w:rPr>
        <w:t xml:space="preserve">Course work </w:t>
      </w:r>
      <w:r w:rsidRPr="009E3AC7">
        <w:rPr>
          <w:rFonts w:eastAsia="Arial Unicode MS"/>
        </w:rPr>
        <w:t>of</w:t>
      </w:r>
    </w:p>
    <w:p w:rsidR="001D1384" w:rsidRPr="009E3AC7" w:rsidRDefault="001D1384" w:rsidP="001D1384">
      <w:pPr>
        <w:pStyle w:val="Default"/>
        <w:tabs>
          <w:tab w:val="left" w:pos="3550"/>
        </w:tabs>
        <w:jc w:val="center"/>
      </w:pPr>
    </w:p>
    <w:p w:rsidR="001D1384" w:rsidRPr="009E3AC7" w:rsidRDefault="001D1384" w:rsidP="001D1384">
      <w:pPr>
        <w:pStyle w:val="Default"/>
        <w:jc w:val="center"/>
      </w:pPr>
      <w:r w:rsidRPr="009E3AC7">
        <w:rPr>
          <w:rFonts w:eastAsia="Arial Unicode MS"/>
          <w:b/>
        </w:rPr>
        <w:t xml:space="preserve">Doctor of Philosphy </w:t>
      </w:r>
    </w:p>
    <w:p w:rsidR="001D1384" w:rsidRPr="009E3AC7" w:rsidRDefault="001D1384" w:rsidP="001D1384">
      <w:pPr>
        <w:pStyle w:val="Default"/>
        <w:jc w:val="center"/>
      </w:pPr>
    </w:p>
    <w:p w:rsidR="001D1384" w:rsidRPr="009E3AC7" w:rsidRDefault="00B430E2" w:rsidP="001D1384">
      <w:pPr>
        <w:pStyle w:val="Default"/>
        <w:jc w:val="center"/>
      </w:pPr>
      <w:r>
        <w:rPr>
          <w:rFonts w:eastAsia="Arial Unicode MS"/>
          <w:b/>
        </w:rPr>
        <w:t>Session……………..</w:t>
      </w:r>
    </w:p>
    <w:p w:rsidR="001D1384" w:rsidRPr="009E3AC7" w:rsidRDefault="001D1384" w:rsidP="001D1384">
      <w:pPr>
        <w:pStyle w:val="Default"/>
        <w:spacing w:before="120" w:after="120"/>
        <w:jc w:val="center"/>
      </w:pPr>
    </w:p>
    <w:p w:rsidR="001D1384" w:rsidRPr="009E3AC7" w:rsidRDefault="001D1384" w:rsidP="001D1384">
      <w:pPr>
        <w:pStyle w:val="Default"/>
        <w:spacing w:before="120" w:after="120"/>
        <w:jc w:val="center"/>
      </w:pPr>
    </w:p>
    <w:p w:rsidR="001D1384" w:rsidRPr="009E3AC7" w:rsidRDefault="001D1384" w:rsidP="001D1384">
      <w:pPr>
        <w:pStyle w:val="Default"/>
        <w:spacing w:before="120" w:after="120"/>
        <w:jc w:val="center"/>
      </w:pPr>
      <w:r w:rsidRPr="009E3AC7">
        <w:t>Submitted by</w:t>
      </w:r>
    </w:p>
    <w:p w:rsidR="001D1384" w:rsidRPr="009E3AC7" w:rsidRDefault="001D1384" w:rsidP="001D1384">
      <w:pPr>
        <w:pStyle w:val="Default"/>
        <w:spacing w:before="120" w:after="120"/>
        <w:jc w:val="center"/>
      </w:pPr>
      <w:r w:rsidRPr="009E3AC7">
        <w:t>By</w:t>
      </w:r>
    </w:p>
    <w:p w:rsidR="001D1384" w:rsidRPr="009E3AC7" w:rsidRDefault="001D1384" w:rsidP="001D1384">
      <w:pPr>
        <w:pStyle w:val="Default"/>
        <w:spacing w:before="120" w:after="120"/>
        <w:jc w:val="center"/>
      </w:pPr>
      <w:r w:rsidRPr="009E3AC7">
        <w:rPr>
          <w:b/>
        </w:rPr>
        <w:t>Student Name</w:t>
      </w:r>
    </w:p>
    <w:p w:rsidR="001D1384" w:rsidRPr="009E3AC7" w:rsidRDefault="001D1384" w:rsidP="001D1384">
      <w:pPr>
        <w:pStyle w:val="Default"/>
        <w:spacing w:before="120" w:after="120"/>
        <w:jc w:val="center"/>
      </w:pPr>
      <w:r w:rsidRPr="009E3AC7">
        <w:t xml:space="preserve">Ph.D </w:t>
      </w:r>
    </w:p>
    <w:p w:rsidR="001D1384" w:rsidRPr="009E3AC7" w:rsidRDefault="001D1384" w:rsidP="001D1384">
      <w:pPr>
        <w:pStyle w:val="Default"/>
        <w:spacing w:before="120" w:after="120"/>
        <w:jc w:val="center"/>
      </w:pPr>
      <w:r w:rsidRPr="009E3AC7">
        <w:t>(En. No )</w:t>
      </w:r>
    </w:p>
    <w:p w:rsidR="001D1384" w:rsidRDefault="001D1384" w:rsidP="001D1384">
      <w:pPr>
        <w:pStyle w:val="Default"/>
        <w:spacing w:before="120" w:after="120"/>
        <w:jc w:val="center"/>
      </w:pPr>
    </w:p>
    <w:p w:rsidR="001D1384" w:rsidRDefault="001D1384" w:rsidP="001D1384">
      <w:pPr>
        <w:pStyle w:val="Default"/>
        <w:spacing w:before="120" w:after="120"/>
        <w:jc w:val="center"/>
      </w:pPr>
    </w:p>
    <w:p w:rsidR="001D1384" w:rsidRPr="009E3AC7" w:rsidRDefault="001D1384" w:rsidP="001D1384">
      <w:pPr>
        <w:pStyle w:val="Default"/>
        <w:spacing w:before="120" w:after="120"/>
        <w:jc w:val="center"/>
      </w:pPr>
      <w:r w:rsidRPr="009E3AC7">
        <w:t>Under Supervision of</w:t>
      </w:r>
    </w:p>
    <w:p w:rsidR="001D1384" w:rsidRPr="009E3AC7" w:rsidRDefault="001D1384" w:rsidP="001D1384">
      <w:pPr>
        <w:pStyle w:val="Default"/>
        <w:spacing w:before="120" w:after="120"/>
        <w:jc w:val="center"/>
      </w:pPr>
      <w:r w:rsidRPr="009E3AC7">
        <w:rPr>
          <w:b/>
        </w:rPr>
        <w:t>Guide Name</w:t>
      </w:r>
    </w:p>
    <w:p w:rsidR="001D1384" w:rsidRPr="009E3AC7" w:rsidRDefault="00B430E2" w:rsidP="001D1384">
      <w:pPr>
        <w:pStyle w:val="Default"/>
        <w:spacing w:before="120" w:after="120"/>
        <w:jc w:val="center"/>
      </w:pPr>
      <w:r>
        <w:t>Designation of Guide</w:t>
      </w:r>
    </w:p>
    <w:p w:rsidR="001D1384" w:rsidRDefault="001D1384" w:rsidP="001D1384">
      <w:pPr>
        <w:pStyle w:val="Default"/>
        <w:spacing w:before="120" w:after="120"/>
        <w:jc w:val="center"/>
        <w:rPr>
          <w:bCs/>
        </w:rPr>
      </w:pPr>
      <w:r w:rsidRPr="009E3AC7">
        <w:rPr>
          <w:bCs/>
        </w:rPr>
        <w:t xml:space="preserve">Dept. of </w:t>
      </w:r>
      <w:r w:rsidR="00B430E2">
        <w:rPr>
          <w:bCs/>
        </w:rPr>
        <w:t>………….</w:t>
      </w:r>
    </w:p>
    <w:p w:rsidR="00B430E2" w:rsidRDefault="00B430E2" w:rsidP="001D1384">
      <w:pPr>
        <w:pStyle w:val="Default"/>
        <w:spacing w:before="120" w:after="120"/>
        <w:jc w:val="center"/>
        <w:rPr>
          <w:bCs/>
        </w:rPr>
      </w:pPr>
      <w:r>
        <w:rPr>
          <w:bCs/>
        </w:rPr>
        <w:t>Faculty……………</w:t>
      </w:r>
    </w:p>
    <w:p w:rsidR="001D1384" w:rsidRDefault="001D1384" w:rsidP="001D1384">
      <w:pPr>
        <w:pStyle w:val="Default"/>
        <w:spacing w:before="120" w:after="120"/>
        <w:jc w:val="center"/>
        <w:rPr>
          <w:b/>
          <w:bCs/>
          <w:sz w:val="40"/>
        </w:rPr>
      </w:pPr>
    </w:p>
    <w:p w:rsidR="001D1384" w:rsidRDefault="001D1384" w:rsidP="001D1384">
      <w:pPr>
        <w:pStyle w:val="Default"/>
        <w:spacing w:before="120" w:after="120"/>
        <w:jc w:val="center"/>
        <w:rPr>
          <w:b/>
          <w:bCs/>
          <w:sz w:val="40"/>
        </w:rPr>
      </w:pPr>
    </w:p>
    <w:p w:rsidR="001D1384" w:rsidRPr="009E3AC7" w:rsidRDefault="001D1384" w:rsidP="001D1384">
      <w:pPr>
        <w:pStyle w:val="Default"/>
        <w:spacing w:before="120" w:after="120"/>
        <w:jc w:val="center"/>
        <w:rPr>
          <w:b/>
          <w:bCs/>
          <w:sz w:val="40"/>
        </w:rPr>
      </w:pPr>
    </w:p>
    <w:p w:rsidR="001D1384" w:rsidRPr="009E3AC7" w:rsidRDefault="001D1384" w:rsidP="001D1384">
      <w:pPr>
        <w:pStyle w:val="Default"/>
        <w:spacing w:before="120" w:after="120"/>
        <w:jc w:val="center"/>
      </w:pPr>
      <w:r w:rsidRPr="009E3AC7">
        <w:rPr>
          <w:b/>
          <w:bCs/>
          <w:sz w:val="40"/>
        </w:rPr>
        <w:t>MANDSAUR UNIVERSITY</w:t>
      </w:r>
    </w:p>
    <w:p w:rsidR="001D1384" w:rsidRPr="009B5C4F" w:rsidRDefault="001D1384" w:rsidP="001D1384">
      <w:pPr>
        <w:pStyle w:val="Default"/>
        <w:tabs>
          <w:tab w:val="left" w:pos="2670"/>
          <w:tab w:val="center" w:pos="4680"/>
        </w:tabs>
        <w:jc w:val="center"/>
        <w:rPr>
          <w:sz w:val="18"/>
          <w:szCs w:val="20"/>
        </w:rPr>
      </w:pPr>
      <w:r w:rsidRPr="009B5C4F">
        <w:rPr>
          <w:sz w:val="18"/>
          <w:szCs w:val="20"/>
        </w:rPr>
        <w:t>Approved by UGC, Rewas Dewda Road, SH - 31, Mandsaur, Madhya Pradesh- 458001</w:t>
      </w:r>
    </w:p>
    <w:p w:rsidR="001D1384" w:rsidRPr="009B5C4F" w:rsidRDefault="001D1384" w:rsidP="001D1384">
      <w:pPr>
        <w:spacing w:after="0"/>
        <w:jc w:val="center"/>
        <w:rPr>
          <w:rFonts w:ascii="Times New Roman" w:hAnsi="Times New Roman" w:cs="Times New Roman"/>
          <w:b/>
          <w:sz w:val="18"/>
          <w:szCs w:val="20"/>
        </w:rPr>
      </w:pPr>
      <w:r w:rsidRPr="009B5C4F">
        <w:rPr>
          <w:rFonts w:ascii="Times New Roman" w:hAnsi="Times New Roman" w:cs="Times New Roman"/>
          <w:b/>
          <w:sz w:val="18"/>
          <w:szCs w:val="20"/>
        </w:rPr>
        <w:t>Ph. No. +919752122999, +919425924111</w:t>
      </w:r>
    </w:p>
    <w:p w:rsidR="001D1384" w:rsidRPr="009B5C4F" w:rsidRDefault="001D1384" w:rsidP="001D1384">
      <w:pPr>
        <w:spacing w:after="0"/>
        <w:jc w:val="center"/>
        <w:rPr>
          <w:rFonts w:ascii="Times New Roman" w:hAnsi="Times New Roman" w:cs="Times New Roman"/>
          <w:color w:val="FF0000"/>
          <w:sz w:val="18"/>
          <w:szCs w:val="20"/>
        </w:rPr>
      </w:pPr>
      <w:r w:rsidRPr="009B5C4F">
        <w:rPr>
          <w:rFonts w:ascii="Times New Roman" w:hAnsi="Times New Roman" w:cs="Times New Roman"/>
          <w:b/>
          <w:sz w:val="18"/>
          <w:szCs w:val="20"/>
        </w:rPr>
        <w:t xml:space="preserve">Website: </w:t>
      </w:r>
      <w:hyperlink r:id="rId8" w:history="1">
        <w:r w:rsidRPr="009B5C4F">
          <w:rPr>
            <w:rStyle w:val="Hyperlink"/>
            <w:rFonts w:ascii="Times New Roman" w:hAnsi="Times New Roman" w:cs="Times New Roman"/>
            <w:sz w:val="18"/>
            <w:szCs w:val="20"/>
          </w:rPr>
          <w:t>www.mandsauruniversity.edu.in/</w:t>
        </w:r>
      </w:hyperlink>
      <w:r w:rsidRPr="009B5C4F">
        <w:rPr>
          <w:rFonts w:ascii="Times New Roman" w:hAnsi="Times New Roman" w:cs="Times New Roman"/>
          <w:color w:val="FF0000"/>
          <w:sz w:val="18"/>
          <w:szCs w:val="20"/>
        </w:rPr>
        <w:t xml:space="preserve"> </w:t>
      </w:r>
    </w:p>
    <w:p w:rsidR="001D1384" w:rsidRPr="009B5C4F" w:rsidRDefault="001D1384" w:rsidP="001D1384">
      <w:pPr>
        <w:spacing w:after="0"/>
        <w:jc w:val="center"/>
        <w:rPr>
          <w:rFonts w:ascii="Times New Roman" w:hAnsi="Times New Roman" w:cs="Times New Roman"/>
          <w:color w:val="FF0000"/>
          <w:sz w:val="18"/>
          <w:szCs w:val="20"/>
        </w:rPr>
      </w:pPr>
      <w:r w:rsidRPr="009B5C4F">
        <w:rPr>
          <w:rFonts w:ascii="Times New Roman" w:hAnsi="Times New Roman" w:cs="Times New Roman"/>
          <w:b/>
          <w:sz w:val="18"/>
          <w:szCs w:val="20"/>
        </w:rPr>
        <w:t xml:space="preserve">Email : </w:t>
      </w:r>
      <w:hyperlink r:id="rId9" w:history="1">
        <w:r w:rsidRPr="009B5C4F">
          <w:rPr>
            <w:rStyle w:val="Hyperlink"/>
            <w:rFonts w:ascii="Times New Roman" w:hAnsi="Times New Roman" w:cs="Times New Roman"/>
            <w:sz w:val="18"/>
            <w:szCs w:val="20"/>
          </w:rPr>
          <w:t>info@mandsauruniversity.edu.in</w:t>
        </w:r>
      </w:hyperlink>
      <w:r w:rsidRPr="009B5C4F">
        <w:rPr>
          <w:rFonts w:ascii="Times New Roman" w:hAnsi="Times New Roman" w:cs="Times New Roman"/>
          <w:sz w:val="18"/>
          <w:szCs w:val="20"/>
        </w:rPr>
        <w:t xml:space="preserve">, </w:t>
      </w:r>
      <w:hyperlink r:id="rId10" w:history="1">
        <w:r w:rsidRPr="009B5C4F">
          <w:rPr>
            <w:rStyle w:val="Hyperlink"/>
            <w:rFonts w:ascii="Times New Roman" w:hAnsi="Times New Roman" w:cs="Times New Roman"/>
            <w:sz w:val="18"/>
            <w:szCs w:val="20"/>
          </w:rPr>
          <w:t>phd@mandsauruniversity.edu.in</w:t>
        </w:r>
      </w:hyperlink>
    </w:p>
    <w:p w:rsidR="001D1384" w:rsidRDefault="001D1384" w:rsidP="00681179">
      <w:pPr>
        <w:jc w:val="center"/>
        <w:rPr>
          <w:rFonts w:ascii="Times New Roman" w:hAnsi="Times New Roman" w:cs="Times New Roman"/>
          <w:b/>
          <w:sz w:val="24"/>
        </w:rPr>
      </w:pPr>
      <w:r>
        <w:rPr>
          <w:rFonts w:ascii="Times New Roman" w:hAnsi="Times New Roman" w:cs="Times New Roman"/>
          <w:b/>
          <w:sz w:val="24"/>
        </w:rPr>
        <w:lastRenderedPageBreak/>
        <w:t>Pattern of Review of literature</w:t>
      </w:r>
    </w:p>
    <w:p w:rsidR="001D1384" w:rsidRPr="00464760" w:rsidRDefault="001D1384" w:rsidP="00681179">
      <w:pPr>
        <w:autoSpaceDE w:val="0"/>
        <w:autoSpaceDN w:val="0"/>
        <w:adjustRightInd w:val="0"/>
        <w:spacing w:after="0" w:line="360" w:lineRule="auto"/>
        <w:ind w:firstLine="720"/>
        <w:jc w:val="both"/>
        <w:rPr>
          <w:rFonts w:ascii="Times New Roman" w:hAnsi="Times New Roman" w:cs="Times New Roman"/>
          <w:sz w:val="24"/>
          <w:szCs w:val="24"/>
        </w:rPr>
      </w:pPr>
      <w:r w:rsidRPr="00464760">
        <w:rPr>
          <w:rFonts w:ascii="Times New Roman" w:hAnsi="Times New Roman" w:cs="Times New Roman"/>
          <w:sz w:val="24"/>
          <w:szCs w:val="24"/>
        </w:rPr>
        <w:t>Oxadiazole</w:t>
      </w:r>
      <w:bookmarkStart w:id="0" w:name="_GoBack"/>
      <w:bookmarkEnd w:id="0"/>
      <w:r w:rsidRPr="00464760">
        <w:rPr>
          <w:rFonts w:ascii="Times New Roman" w:hAnsi="Times New Roman" w:cs="Times New Roman"/>
          <w:sz w:val="24"/>
          <w:szCs w:val="24"/>
        </w:rPr>
        <w:t xml:space="preserve">s belong to an important group of heterocyclic compounds having –N=C–O– linkage. It is well documented that oxadiazole system contains the following members which are numbered by designating the hetero atoms at particular position. There are Four known </w:t>
      </w:r>
      <w:r w:rsidRPr="00681179">
        <w:rPr>
          <w:rFonts w:ascii="Times New Roman" w:hAnsi="Times New Roman" w:cs="Times New Roman"/>
          <w:sz w:val="24"/>
          <w:szCs w:val="24"/>
        </w:rPr>
        <w:t>isomers: 1,2,3-oxadiazole (17), 1,2,4-oxadiazole (18), 1,2,5-oxadiazole (19) and 1,3,4-Oxadiazole (20) (Figure 4).</w:t>
      </w:r>
      <w:r w:rsidRPr="00464760">
        <w:rPr>
          <w:rFonts w:ascii="Times New Roman" w:hAnsi="Times New Roman" w:cs="Times New Roman"/>
          <w:sz w:val="24"/>
          <w:szCs w:val="24"/>
        </w:rPr>
        <w:t xml:space="preserve"> However,1,3,4-oxadiazole and 1,2,4-oxadiazole are better known, and more widely studied by researchers because of their many important chemical and biological properties [</w:t>
      </w:r>
      <w:r w:rsidRPr="00464760">
        <w:rPr>
          <w:rFonts w:ascii="Times New Roman" w:hAnsi="Times New Roman" w:cs="Times New Roman"/>
          <w:bCs/>
          <w:sz w:val="24"/>
          <w:szCs w:val="24"/>
        </w:rPr>
        <w:t>Gupta et</w:t>
      </w:r>
      <w:r>
        <w:rPr>
          <w:rFonts w:ascii="Times New Roman" w:hAnsi="Times New Roman" w:cs="Times New Roman"/>
          <w:bCs/>
          <w:sz w:val="24"/>
          <w:szCs w:val="24"/>
        </w:rPr>
        <w:t>.</w:t>
      </w:r>
      <w:r w:rsidRPr="00464760">
        <w:rPr>
          <w:rFonts w:ascii="Times New Roman" w:hAnsi="Times New Roman" w:cs="Times New Roman"/>
          <w:bCs/>
          <w:sz w:val="24"/>
          <w:szCs w:val="24"/>
        </w:rPr>
        <w:t xml:space="preserve"> al, </w:t>
      </w:r>
      <w:r w:rsidRPr="00464760">
        <w:rPr>
          <w:rFonts w:ascii="Times New Roman" w:hAnsi="Times New Roman" w:cs="Times New Roman"/>
          <w:b/>
          <w:bCs/>
          <w:sz w:val="24"/>
          <w:szCs w:val="24"/>
        </w:rPr>
        <w:t>2005</w:t>
      </w:r>
      <w:r w:rsidRPr="00464760">
        <w:rPr>
          <w:rFonts w:ascii="Times New Roman" w:hAnsi="Times New Roman" w:cs="Times New Roman"/>
          <w:sz w:val="24"/>
          <w:szCs w:val="24"/>
        </w:rPr>
        <w:t xml:space="preserve">]. </w:t>
      </w:r>
    </w:p>
    <w:p w:rsidR="001D1384" w:rsidRDefault="001D1384" w:rsidP="001D1384">
      <w:pPr>
        <w:autoSpaceDE w:val="0"/>
        <w:autoSpaceDN w:val="0"/>
        <w:adjustRightInd w:val="0"/>
        <w:spacing w:after="120" w:line="240" w:lineRule="auto"/>
        <w:jc w:val="center"/>
        <w:rPr>
          <w:rFonts w:ascii="Times New Roman" w:hAnsi="Times New Roman" w:cs="Times New Roman"/>
          <w:sz w:val="24"/>
          <w:szCs w:val="24"/>
        </w:rPr>
      </w:pPr>
      <w:r w:rsidRPr="00464760">
        <w:rPr>
          <w:rFonts w:ascii="Times New Roman" w:hAnsi="Times New Roman" w:cs="Times New Roman"/>
          <w:sz w:val="24"/>
          <w:szCs w:val="24"/>
        </w:rPr>
        <w:object w:dxaOrig="8844" w:dyaOrig="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68.25pt" o:ole="">
            <v:imagedata r:id="rId11" o:title=""/>
          </v:shape>
          <o:OLEObject Type="Embed" ProgID="ChemDraw.Document.6.0" ShapeID="_x0000_i1025" DrawAspect="Content" ObjectID="_1674456435" r:id="rId12"/>
        </w:object>
      </w:r>
    </w:p>
    <w:p w:rsidR="001D1384" w:rsidRPr="005839E0" w:rsidRDefault="001D1384" w:rsidP="001D1384">
      <w:pPr>
        <w:autoSpaceDE w:val="0"/>
        <w:autoSpaceDN w:val="0"/>
        <w:adjustRightInd w:val="0"/>
        <w:spacing w:after="120" w:line="240" w:lineRule="auto"/>
        <w:jc w:val="center"/>
        <w:rPr>
          <w:rFonts w:ascii="Times New Roman" w:hAnsi="Times New Roman" w:cs="Times New Roman"/>
          <w:b/>
          <w:sz w:val="20"/>
          <w:szCs w:val="24"/>
        </w:rPr>
      </w:pPr>
      <w:r w:rsidRPr="005839E0">
        <w:rPr>
          <w:rFonts w:ascii="Times New Roman" w:hAnsi="Times New Roman" w:cs="Times New Roman"/>
          <w:b/>
          <w:sz w:val="20"/>
          <w:szCs w:val="24"/>
        </w:rPr>
        <w:t>Figure 4</w:t>
      </w:r>
      <w:r>
        <w:rPr>
          <w:rFonts w:ascii="Times New Roman" w:hAnsi="Times New Roman" w:cs="Times New Roman"/>
          <w:b/>
          <w:sz w:val="20"/>
          <w:szCs w:val="24"/>
        </w:rPr>
        <w:t>.</w:t>
      </w:r>
      <w:r w:rsidRPr="005839E0">
        <w:rPr>
          <w:rFonts w:ascii="Times New Roman" w:hAnsi="Times New Roman" w:cs="Times New Roman"/>
          <w:b/>
          <w:sz w:val="20"/>
          <w:szCs w:val="24"/>
        </w:rPr>
        <w:t xml:space="preserve"> Four Isomer of oxadiazole</w:t>
      </w:r>
      <w:r>
        <w:rPr>
          <w:rFonts w:ascii="Times New Roman" w:hAnsi="Times New Roman" w:cs="Times New Roman"/>
          <w:b/>
          <w:sz w:val="20"/>
          <w:szCs w:val="24"/>
        </w:rPr>
        <w:t>.</w:t>
      </w:r>
    </w:p>
    <w:p w:rsidR="001D1384" w:rsidRPr="00464760" w:rsidRDefault="001D1384" w:rsidP="001D1384">
      <w:pPr>
        <w:autoSpaceDE w:val="0"/>
        <w:autoSpaceDN w:val="0"/>
        <w:adjustRightInd w:val="0"/>
        <w:spacing w:before="120" w:after="0" w:line="360" w:lineRule="auto"/>
        <w:jc w:val="both"/>
        <w:rPr>
          <w:rFonts w:ascii="Times New Roman" w:hAnsi="Times New Roman" w:cs="Times New Roman"/>
          <w:sz w:val="24"/>
          <w:szCs w:val="24"/>
        </w:rPr>
      </w:pPr>
      <w:r w:rsidRPr="00464760">
        <w:rPr>
          <w:rFonts w:ascii="Times New Roman" w:hAnsi="Times New Roman" w:cs="Times New Roman"/>
          <w:sz w:val="24"/>
          <w:szCs w:val="24"/>
        </w:rPr>
        <w:tab/>
        <w:t>1, 3, 4-Oxadiazole (</w:t>
      </w:r>
      <w:r w:rsidRPr="00464760">
        <w:rPr>
          <w:rFonts w:ascii="Times New Roman" w:hAnsi="Times New Roman" w:cs="Times New Roman"/>
          <w:b/>
          <w:sz w:val="24"/>
          <w:szCs w:val="24"/>
        </w:rPr>
        <w:t>20</w:t>
      </w:r>
      <w:r w:rsidRPr="00464760">
        <w:rPr>
          <w:rFonts w:ascii="Times New Roman" w:hAnsi="Times New Roman" w:cs="Times New Roman"/>
          <w:sz w:val="24"/>
          <w:szCs w:val="24"/>
        </w:rPr>
        <w:t>) is a thermally stable aromatic molecule [</w:t>
      </w:r>
      <w:r w:rsidRPr="00464760">
        <w:rPr>
          <w:rFonts w:ascii="Times New Roman" w:hAnsi="Times New Roman" w:cs="Times New Roman"/>
          <w:color w:val="231F20"/>
          <w:sz w:val="24"/>
          <w:szCs w:val="24"/>
        </w:rPr>
        <w:t xml:space="preserve">Aniswarth, </w:t>
      </w:r>
      <w:r w:rsidRPr="00464760">
        <w:rPr>
          <w:rFonts w:ascii="Times New Roman" w:hAnsi="Times New Roman" w:cs="Times New Roman"/>
          <w:b/>
          <w:color w:val="231F20"/>
          <w:sz w:val="24"/>
          <w:szCs w:val="24"/>
        </w:rPr>
        <w:t>1965</w:t>
      </w:r>
      <w:r w:rsidRPr="00464760">
        <w:rPr>
          <w:rFonts w:ascii="Times New Roman" w:hAnsi="Times New Roman" w:cs="Times New Roman"/>
          <w:color w:val="231F20"/>
          <w:sz w:val="24"/>
          <w:szCs w:val="24"/>
        </w:rPr>
        <w:t>]</w:t>
      </w:r>
      <w:r w:rsidRPr="00464760">
        <w:rPr>
          <w:rFonts w:ascii="Times New Roman" w:hAnsi="Times New Roman" w:cs="Times New Roman"/>
          <w:sz w:val="24"/>
          <w:szCs w:val="24"/>
        </w:rPr>
        <w:t xml:space="preserve">. They have been known for about 80 years, it is only in the last decade that investigations in this field have been intensified. This is because of large number of applications of 1,3,4-oxadiazoles in the most diverse areas through drug synthesis, dye stuff industry, heat resistant materials, heat resistant polymers and scintillators. Reviews of the relevant literature prior to 1965 are available [Hetzheim &amp; Mockel, </w:t>
      </w:r>
      <w:r w:rsidRPr="00464760">
        <w:rPr>
          <w:rFonts w:ascii="Times New Roman" w:hAnsi="Times New Roman" w:cs="Times New Roman"/>
          <w:b/>
          <w:sz w:val="24"/>
          <w:szCs w:val="24"/>
        </w:rPr>
        <w:t>1966</w:t>
      </w:r>
      <w:r w:rsidRPr="00464760">
        <w:rPr>
          <w:rFonts w:ascii="Times New Roman" w:hAnsi="Times New Roman" w:cs="Times New Roman"/>
          <w:sz w:val="24"/>
          <w:szCs w:val="24"/>
        </w:rPr>
        <w:t>]</w:t>
      </w:r>
      <w:r>
        <w:rPr>
          <w:rFonts w:ascii="Times New Roman" w:hAnsi="Times New Roman" w:cs="Times New Roman"/>
          <w:sz w:val="24"/>
          <w:szCs w:val="24"/>
        </w:rPr>
        <w:t>.</w:t>
      </w:r>
    </w:p>
    <w:p w:rsidR="001D1384" w:rsidRPr="00464760" w:rsidRDefault="001D1384" w:rsidP="001D1384">
      <w:pPr>
        <w:autoSpaceDE w:val="0"/>
        <w:autoSpaceDN w:val="0"/>
        <w:adjustRightInd w:val="0"/>
        <w:spacing w:after="0" w:line="360" w:lineRule="auto"/>
        <w:jc w:val="center"/>
        <w:rPr>
          <w:rFonts w:ascii="Times New Roman" w:hAnsi="Times New Roman" w:cs="Times New Roman"/>
          <w:sz w:val="24"/>
          <w:szCs w:val="24"/>
        </w:rPr>
      </w:pPr>
      <w:r w:rsidRPr="00464760">
        <w:rPr>
          <w:rFonts w:ascii="Times New Roman" w:hAnsi="Times New Roman" w:cs="Times New Roman"/>
          <w:sz w:val="24"/>
          <w:szCs w:val="24"/>
        </w:rPr>
        <w:object w:dxaOrig="2174" w:dyaOrig="1488">
          <v:shape id="_x0000_i1026" type="#_x0000_t75" style="width:90pt;height:57.75pt" o:ole="">
            <v:imagedata r:id="rId13" o:title=""/>
          </v:shape>
          <o:OLEObject Type="Embed" ProgID="ChemDraw.Document.6.0" ShapeID="_x0000_i1026" DrawAspect="Content" ObjectID="_1674456436" r:id="rId14"/>
        </w:object>
      </w:r>
    </w:p>
    <w:p w:rsidR="001D1384" w:rsidRPr="00464760" w:rsidRDefault="001D1384" w:rsidP="001D1384">
      <w:pPr>
        <w:autoSpaceDE w:val="0"/>
        <w:autoSpaceDN w:val="0"/>
        <w:adjustRightInd w:val="0"/>
        <w:spacing w:after="0" w:line="360" w:lineRule="auto"/>
        <w:jc w:val="both"/>
        <w:rPr>
          <w:rFonts w:ascii="Times New Roman" w:hAnsi="Times New Roman" w:cs="Times New Roman"/>
          <w:sz w:val="24"/>
          <w:szCs w:val="24"/>
        </w:rPr>
      </w:pPr>
      <w:r w:rsidRPr="00464760">
        <w:rPr>
          <w:rFonts w:ascii="Times New Roman" w:hAnsi="Times New Roman" w:cs="Times New Roman"/>
          <w:sz w:val="24"/>
          <w:szCs w:val="24"/>
        </w:rPr>
        <w:tab/>
        <w:t>Literature survey reveals that particularly 1, 3, 4-oxadiazole derivatives exhibit wide range of biological activities including antibacterial [Sun et</w:t>
      </w:r>
      <w:r>
        <w:rPr>
          <w:rFonts w:ascii="Times New Roman" w:hAnsi="Times New Roman" w:cs="Times New Roman"/>
          <w:sz w:val="24"/>
          <w:szCs w:val="24"/>
        </w:rPr>
        <w:t>.</w:t>
      </w:r>
      <w:r w:rsidRPr="00464760">
        <w:rPr>
          <w:rFonts w:ascii="Times New Roman" w:hAnsi="Times New Roman" w:cs="Times New Roman"/>
          <w:sz w:val="24"/>
          <w:szCs w:val="24"/>
        </w:rPr>
        <w:t xml:space="preserve"> al, </w:t>
      </w:r>
      <w:r w:rsidRPr="00464760">
        <w:rPr>
          <w:rFonts w:ascii="Times New Roman" w:hAnsi="Times New Roman" w:cs="Times New Roman"/>
          <w:b/>
          <w:sz w:val="24"/>
          <w:szCs w:val="24"/>
        </w:rPr>
        <w:t>1998</w:t>
      </w:r>
      <w:r w:rsidRPr="00464760">
        <w:rPr>
          <w:rFonts w:ascii="Times New Roman" w:hAnsi="Times New Roman" w:cs="Times New Roman"/>
          <w:sz w:val="24"/>
          <w:szCs w:val="24"/>
        </w:rPr>
        <w:t xml:space="preserve">], anti-inflammatory [Amir &amp; Shahani, </w:t>
      </w:r>
      <w:r w:rsidRPr="00464760">
        <w:rPr>
          <w:rFonts w:ascii="Times New Roman" w:hAnsi="Times New Roman" w:cs="Times New Roman"/>
          <w:b/>
          <w:sz w:val="24"/>
          <w:szCs w:val="24"/>
        </w:rPr>
        <w:t>1998</w:t>
      </w:r>
      <w:r w:rsidRPr="00464760">
        <w:rPr>
          <w:rFonts w:ascii="Times New Roman" w:hAnsi="Times New Roman" w:cs="Times New Roman"/>
          <w:sz w:val="24"/>
          <w:szCs w:val="24"/>
        </w:rPr>
        <w:t>]</w:t>
      </w:r>
      <w:r w:rsidRPr="00464760">
        <w:rPr>
          <w:rFonts w:ascii="Times New Roman" w:hAnsi="Times New Roman" w:cs="Times New Roman"/>
          <w:sz w:val="24"/>
          <w:szCs w:val="24"/>
          <w:vertAlign w:val="superscript"/>
        </w:rPr>
        <w:t>,</w:t>
      </w:r>
      <w:r w:rsidRPr="00464760">
        <w:rPr>
          <w:rFonts w:ascii="Times New Roman" w:hAnsi="Times New Roman" w:cs="Times New Roman"/>
          <w:sz w:val="24"/>
          <w:szCs w:val="24"/>
        </w:rPr>
        <w:t xml:space="preserve"> fungicidal</w:t>
      </w:r>
      <w:r>
        <w:rPr>
          <w:rFonts w:ascii="Times New Roman" w:hAnsi="Times New Roman" w:cs="Times New Roman"/>
          <w:sz w:val="24"/>
          <w:szCs w:val="24"/>
        </w:rPr>
        <w:t xml:space="preserve"> </w:t>
      </w:r>
      <w:r w:rsidRPr="00464760">
        <w:rPr>
          <w:rFonts w:ascii="Times New Roman" w:hAnsi="Times New Roman" w:cs="Times New Roman"/>
          <w:sz w:val="24"/>
          <w:szCs w:val="24"/>
        </w:rPr>
        <w:t>[Nizamudalin et</w:t>
      </w:r>
      <w:r>
        <w:rPr>
          <w:rFonts w:ascii="Times New Roman" w:hAnsi="Times New Roman" w:cs="Times New Roman"/>
          <w:sz w:val="24"/>
          <w:szCs w:val="24"/>
        </w:rPr>
        <w:t>.</w:t>
      </w:r>
      <w:r w:rsidRPr="00464760">
        <w:rPr>
          <w:rFonts w:ascii="Times New Roman" w:hAnsi="Times New Roman" w:cs="Times New Roman"/>
          <w:sz w:val="24"/>
          <w:szCs w:val="24"/>
        </w:rPr>
        <w:t xml:space="preserve"> al, </w:t>
      </w:r>
      <w:r w:rsidRPr="00464760">
        <w:rPr>
          <w:rFonts w:ascii="Times New Roman" w:hAnsi="Times New Roman" w:cs="Times New Roman"/>
          <w:b/>
          <w:bCs/>
          <w:sz w:val="24"/>
          <w:szCs w:val="24"/>
        </w:rPr>
        <w:t>1999</w:t>
      </w:r>
      <w:r w:rsidRPr="00464760">
        <w:rPr>
          <w:rFonts w:ascii="Times New Roman" w:hAnsi="Times New Roman" w:cs="Times New Roman"/>
          <w:sz w:val="24"/>
          <w:szCs w:val="24"/>
        </w:rPr>
        <w:t>], herbicidal, pesticide</w:t>
      </w:r>
      <w:r>
        <w:rPr>
          <w:rFonts w:ascii="Times New Roman" w:hAnsi="Times New Roman" w:cs="Times New Roman"/>
          <w:sz w:val="24"/>
          <w:szCs w:val="24"/>
        </w:rPr>
        <w:t xml:space="preserve"> </w:t>
      </w:r>
      <w:r w:rsidRPr="00464760">
        <w:rPr>
          <w:rFonts w:ascii="Times New Roman" w:hAnsi="Times New Roman" w:cs="Times New Roman"/>
          <w:sz w:val="24"/>
          <w:szCs w:val="24"/>
        </w:rPr>
        <w:t xml:space="preserve">[Nandihalli &amp; Duke, </w:t>
      </w:r>
      <w:r w:rsidRPr="00464760">
        <w:rPr>
          <w:rFonts w:ascii="Times New Roman" w:hAnsi="Times New Roman" w:cs="Times New Roman"/>
          <w:b/>
          <w:sz w:val="24"/>
          <w:szCs w:val="24"/>
        </w:rPr>
        <w:t>1993</w:t>
      </w:r>
      <w:r w:rsidRPr="00464760">
        <w:rPr>
          <w:rFonts w:ascii="Times New Roman" w:hAnsi="Times New Roman" w:cs="Times New Roman"/>
          <w:sz w:val="24"/>
          <w:szCs w:val="24"/>
        </w:rPr>
        <w:t xml:space="preserve">], </w:t>
      </w:r>
      <w:r w:rsidRPr="00A235E1">
        <w:rPr>
          <w:rFonts w:ascii="Times New Roman" w:hAnsi="Times New Roman" w:cs="Times New Roman"/>
          <w:sz w:val="24"/>
          <w:szCs w:val="24"/>
        </w:rPr>
        <w:t>anti-leshminasis [</w:t>
      </w:r>
      <w:r w:rsidRPr="00A235E1">
        <w:rPr>
          <w:rFonts w:ascii="Times New Roman" w:eastAsia="Times New Roman" w:hAnsi="Times New Roman" w:cs="Times New Roman"/>
          <w:sz w:val="24"/>
          <w:szCs w:val="24"/>
        </w:rPr>
        <w:t xml:space="preserve">Varma et. </w:t>
      </w:r>
      <w:r>
        <w:rPr>
          <w:rFonts w:ascii="Times New Roman" w:eastAsia="Times New Roman" w:hAnsi="Times New Roman" w:cs="Times New Roman"/>
          <w:sz w:val="24"/>
          <w:szCs w:val="24"/>
        </w:rPr>
        <w:t>a</w:t>
      </w:r>
      <w:r w:rsidRPr="00A235E1">
        <w:rPr>
          <w:rFonts w:ascii="Times New Roman" w:eastAsia="Times New Roman" w:hAnsi="Times New Roman" w:cs="Times New Roman"/>
          <w:sz w:val="24"/>
          <w:szCs w:val="24"/>
        </w:rPr>
        <w:t xml:space="preserve">l, </w:t>
      </w:r>
      <w:r w:rsidRPr="00A235E1">
        <w:rPr>
          <w:rFonts w:ascii="Times New Roman" w:eastAsia="Times New Roman" w:hAnsi="Times New Roman" w:cs="Times New Roman"/>
          <w:b/>
          <w:sz w:val="24"/>
          <w:szCs w:val="24"/>
        </w:rPr>
        <w:t>1999</w:t>
      </w:r>
      <w:r w:rsidRPr="00A235E1">
        <w:rPr>
          <w:rFonts w:ascii="Times New Roman" w:hAnsi="Times New Roman" w:cs="Times New Roman"/>
          <w:sz w:val="24"/>
          <w:szCs w:val="24"/>
        </w:rPr>
        <w:t>],</w:t>
      </w:r>
      <w:r w:rsidRPr="00464760">
        <w:rPr>
          <w:rFonts w:ascii="Times New Roman" w:hAnsi="Times New Roman" w:cs="Times New Roman"/>
          <w:sz w:val="24"/>
          <w:szCs w:val="24"/>
        </w:rPr>
        <w:t xml:space="preserve"> anticonvulsant</w:t>
      </w:r>
      <w:r>
        <w:rPr>
          <w:rFonts w:ascii="Times New Roman" w:hAnsi="Times New Roman" w:cs="Times New Roman"/>
          <w:sz w:val="24"/>
          <w:szCs w:val="24"/>
        </w:rPr>
        <w:t xml:space="preserve"> </w:t>
      </w:r>
      <w:r w:rsidRPr="00464760">
        <w:rPr>
          <w:rFonts w:ascii="Times New Roman" w:hAnsi="Times New Roman" w:cs="Times New Roman"/>
          <w:sz w:val="24"/>
          <w:szCs w:val="24"/>
        </w:rPr>
        <w:t xml:space="preserve">[Nandihalli &amp; Duke, </w:t>
      </w:r>
      <w:r w:rsidRPr="00464760">
        <w:rPr>
          <w:rFonts w:ascii="Times New Roman" w:hAnsi="Times New Roman" w:cs="Times New Roman"/>
          <w:b/>
          <w:sz w:val="24"/>
          <w:szCs w:val="24"/>
        </w:rPr>
        <w:t>1993</w:t>
      </w:r>
      <w:r w:rsidRPr="00464760">
        <w:rPr>
          <w:rFonts w:ascii="Times New Roman" w:hAnsi="Times New Roman" w:cs="Times New Roman"/>
          <w:sz w:val="24"/>
          <w:szCs w:val="24"/>
        </w:rPr>
        <w:t xml:space="preserve">], anti-HIV [Hazarika &amp; Kataky, </w:t>
      </w:r>
      <w:r w:rsidRPr="00464760">
        <w:rPr>
          <w:rFonts w:ascii="Times New Roman" w:hAnsi="Times New Roman" w:cs="Times New Roman"/>
          <w:b/>
          <w:bCs/>
          <w:sz w:val="24"/>
          <w:szCs w:val="24"/>
        </w:rPr>
        <w:t>1998</w:t>
      </w:r>
      <w:r w:rsidRPr="00464760">
        <w:rPr>
          <w:rFonts w:ascii="Times New Roman" w:hAnsi="Times New Roman" w:cs="Times New Roman"/>
          <w:sz w:val="24"/>
          <w:szCs w:val="24"/>
        </w:rPr>
        <w:t>], antibacterial and plant growth regulator activities</w:t>
      </w:r>
      <w:r>
        <w:rPr>
          <w:rFonts w:ascii="Times New Roman" w:hAnsi="Times New Roman" w:cs="Times New Roman"/>
          <w:sz w:val="24"/>
          <w:szCs w:val="24"/>
        </w:rPr>
        <w:t xml:space="preserve"> </w:t>
      </w:r>
      <w:r w:rsidRPr="00464760">
        <w:rPr>
          <w:rFonts w:ascii="Times New Roman" w:hAnsi="Times New Roman" w:cs="Times New Roman"/>
          <w:sz w:val="24"/>
          <w:szCs w:val="24"/>
        </w:rPr>
        <w:t xml:space="preserve">[Chaudhari </w:t>
      </w:r>
      <w:r>
        <w:rPr>
          <w:rFonts w:ascii="Times New Roman" w:hAnsi="Times New Roman" w:cs="Times New Roman"/>
          <w:sz w:val="24"/>
          <w:szCs w:val="24"/>
        </w:rPr>
        <w:t>et. al,</w:t>
      </w:r>
      <w:r w:rsidRPr="00464760">
        <w:rPr>
          <w:rFonts w:ascii="Times New Roman" w:hAnsi="Times New Roman" w:cs="Times New Roman"/>
          <w:sz w:val="24"/>
          <w:szCs w:val="24"/>
        </w:rPr>
        <w:t xml:space="preserve"> </w:t>
      </w:r>
      <w:r w:rsidRPr="00464760">
        <w:rPr>
          <w:rFonts w:ascii="Times New Roman" w:hAnsi="Times New Roman" w:cs="Times New Roman"/>
          <w:b/>
          <w:sz w:val="24"/>
          <w:szCs w:val="24"/>
        </w:rPr>
        <w:t>1995</w:t>
      </w:r>
      <w:r w:rsidRPr="00464760">
        <w:rPr>
          <w:rFonts w:ascii="Times New Roman" w:hAnsi="Times New Roman" w:cs="Times New Roman"/>
          <w:sz w:val="24"/>
          <w:szCs w:val="24"/>
        </w:rPr>
        <w:t>].</w:t>
      </w:r>
    </w:p>
    <w:p w:rsidR="001D1384" w:rsidRDefault="001D1384" w:rsidP="001D1384">
      <w:pPr>
        <w:rPr>
          <w:rFonts w:ascii="Times New Roman" w:hAnsi="Times New Roman" w:cs="Times New Roman"/>
          <w:b/>
          <w:sz w:val="24"/>
        </w:rPr>
      </w:pPr>
      <w:r w:rsidRPr="009E3AC7">
        <w:rPr>
          <w:rFonts w:ascii="Times New Roman" w:hAnsi="Times New Roman" w:cs="Times New Roman"/>
          <w:b/>
          <w:sz w:val="24"/>
        </w:rPr>
        <w:br w:type="page"/>
      </w:r>
    </w:p>
    <w:p w:rsidR="00B430E2" w:rsidRDefault="00B430E2" w:rsidP="001D1384">
      <w:pPr>
        <w:rPr>
          <w:rFonts w:ascii="Times New Roman" w:hAnsi="Times New Roman" w:cs="Times New Roman"/>
          <w:b/>
          <w:iCs/>
        </w:rPr>
      </w:pPr>
      <w:r>
        <w:rPr>
          <w:rFonts w:ascii="Times New Roman" w:hAnsi="Times New Roman" w:cs="Times New Roman"/>
          <w:b/>
          <w:iCs/>
        </w:rPr>
        <w:lastRenderedPageBreak/>
        <w:t>GUIDELINE’s</w:t>
      </w:r>
    </w:p>
    <w:p w:rsidR="001D1384" w:rsidRPr="009E3AC7" w:rsidRDefault="001D1384" w:rsidP="001D1384">
      <w:pPr>
        <w:rPr>
          <w:rFonts w:ascii="Times New Roman" w:hAnsi="Times New Roman" w:cs="Times New Roman"/>
        </w:rPr>
      </w:pPr>
      <w:r w:rsidRPr="009E3AC7">
        <w:rPr>
          <w:rFonts w:ascii="Times New Roman" w:hAnsi="Times New Roman" w:cs="Times New Roman"/>
          <w:b/>
          <w:iCs/>
        </w:rPr>
        <w:t xml:space="preserve">Font size = Main heading Times new roman-14 and bold, </w:t>
      </w:r>
    </w:p>
    <w:p w:rsidR="001D1384" w:rsidRPr="009E3AC7" w:rsidRDefault="001D1384" w:rsidP="001D1384">
      <w:pPr>
        <w:pStyle w:val="Default"/>
        <w:numPr>
          <w:ilvl w:val="2"/>
          <w:numId w:val="1"/>
        </w:numPr>
        <w:tabs>
          <w:tab w:val="left" w:pos="709"/>
        </w:tabs>
        <w:suppressAutoHyphens/>
        <w:autoSpaceDE/>
        <w:autoSpaceDN/>
        <w:adjustRightInd/>
        <w:spacing w:before="120" w:after="120" w:line="360" w:lineRule="atLeast"/>
        <w:jc w:val="both"/>
      </w:pPr>
      <w:r w:rsidRPr="009E3AC7">
        <w:rPr>
          <w:b/>
          <w:iCs/>
        </w:rPr>
        <w:t>sub heading -Times new roman 12and bold</w:t>
      </w:r>
    </w:p>
    <w:p w:rsidR="001D1384" w:rsidRPr="009E3AC7" w:rsidRDefault="001D1384" w:rsidP="001D1384">
      <w:pPr>
        <w:pStyle w:val="Default"/>
        <w:numPr>
          <w:ilvl w:val="2"/>
          <w:numId w:val="1"/>
        </w:numPr>
        <w:tabs>
          <w:tab w:val="left" w:pos="709"/>
        </w:tabs>
        <w:suppressAutoHyphens/>
        <w:autoSpaceDE/>
        <w:autoSpaceDN/>
        <w:adjustRightInd/>
        <w:spacing w:before="120" w:after="120" w:line="360" w:lineRule="atLeast"/>
        <w:jc w:val="both"/>
      </w:pPr>
      <w:r w:rsidRPr="009E3AC7">
        <w:rPr>
          <w:b/>
          <w:iCs/>
        </w:rPr>
        <w:t>Text font - Times new roman 12</w:t>
      </w:r>
    </w:p>
    <w:p w:rsidR="001D1384" w:rsidRPr="009E3AC7" w:rsidRDefault="001D1384" w:rsidP="001D1384">
      <w:pPr>
        <w:pStyle w:val="Default"/>
        <w:numPr>
          <w:ilvl w:val="2"/>
          <w:numId w:val="1"/>
        </w:numPr>
        <w:tabs>
          <w:tab w:val="left" w:pos="709"/>
        </w:tabs>
        <w:suppressAutoHyphens/>
        <w:autoSpaceDE/>
        <w:autoSpaceDN/>
        <w:adjustRightInd/>
        <w:spacing w:before="120" w:after="120" w:line="360" w:lineRule="atLeast"/>
        <w:jc w:val="both"/>
      </w:pPr>
      <w:r w:rsidRPr="009E3AC7">
        <w:rPr>
          <w:b/>
          <w:iCs/>
        </w:rPr>
        <w:t>Page margin – 1 inch, Gutter position left 0.5 inch</w:t>
      </w:r>
    </w:p>
    <w:p w:rsidR="001D1384" w:rsidRPr="009E3AC7" w:rsidRDefault="001D1384" w:rsidP="001D1384">
      <w:pPr>
        <w:pStyle w:val="Default"/>
        <w:numPr>
          <w:ilvl w:val="2"/>
          <w:numId w:val="1"/>
        </w:numPr>
        <w:tabs>
          <w:tab w:val="left" w:pos="709"/>
        </w:tabs>
        <w:suppressAutoHyphens/>
        <w:autoSpaceDE/>
        <w:autoSpaceDN/>
        <w:adjustRightInd/>
        <w:spacing w:before="120" w:after="120" w:line="360" w:lineRule="atLeast"/>
        <w:jc w:val="both"/>
      </w:pPr>
      <w:r w:rsidRPr="009E3AC7">
        <w:rPr>
          <w:b/>
          <w:iCs/>
        </w:rPr>
        <w:t xml:space="preserve">Reference pattern </w:t>
      </w:r>
    </w:p>
    <w:p w:rsidR="001D1384" w:rsidRPr="009E3AC7" w:rsidRDefault="001D1384" w:rsidP="001D1384">
      <w:pPr>
        <w:pStyle w:val="Default"/>
        <w:tabs>
          <w:tab w:val="left" w:pos="709"/>
        </w:tabs>
        <w:suppressAutoHyphens/>
        <w:autoSpaceDE/>
        <w:autoSpaceDN/>
        <w:adjustRightInd/>
        <w:spacing w:before="120" w:after="120" w:line="360" w:lineRule="atLeast"/>
        <w:jc w:val="both"/>
        <w:rPr>
          <w:u w:val="single"/>
        </w:rPr>
      </w:pPr>
      <w:r w:rsidRPr="009E3AC7">
        <w:rPr>
          <w:b/>
          <w:iCs/>
          <w:u w:val="single"/>
        </w:rPr>
        <w:t>For article</w:t>
      </w:r>
      <w:r w:rsidR="00B430E2">
        <w:rPr>
          <w:b/>
          <w:iCs/>
          <w:u w:val="single"/>
        </w:rPr>
        <w:t xml:space="preserve"> </w:t>
      </w:r>
      <w:r w:rsidR="00B430E2" w:rsidRPr="00B430E2">
        <w:rPr>
          <w:b/>
          <w:iCs/>
        </w:rPr>
        <w:t>-APA</w:t>
      </w:r>
      <w:r w:rsidR="00B430E2">
        <w:rPr>
          <w:b/>
          <w:iCs/>
        </w:rPr>
        <w:t xml:space="preserve"> style</w:t>
      </w:r>
    </w:p>
    <w:p w:rsidR="001D1384" w:rsidRPr="009E3AC7" w:rsidRDefault="001D1384" w:rsidP="001D1384">
      <w:pPr>
        <w:pStyle w:val="Default"/>
        <w:spacing w:before="120" w:after="120" w:line="360" w:lineRule="atLeast"/>
        <w:jc w:val="both"/>
      </w:pPr>
      <w:r w:rsidRPr="009E3AC7">
        <w:t xml:space="preserve">Daniel, V., Daniel, K. V., Kuwar, P. S., &amp; Singh, N. (2009). Advances In The Pharmacotherapy of Alzheimer's Disease: A Review. </w:t>
      </w:r>
      <w:r w:rsidRPr="009E3AC7">
        <w:rPr>
          <w:i/>
        </w:rPr>
        <w:t>Journal of Pharmacy Research</w:t>
      </w:r>
      <w:r w:rsidRPr="009E3AC7">
        <w:t xml:space="preserve">, </w:t>
      </w:r>
      <w:r w:rsidRPr="009E3AC7">
        <w:rPr>
          <w:i/>
        </w:rPr>
        <w:t>2</w:t>
      </w:r>
      <w:r w:rsidRPr="009E3AC7">
        <w:t>(12), Page no</w:t>
      </w:r>
    </w:p>
    <w:p w:rsidR="001D1384" w:rsidRPr="009E3AC7" w:rsidRDefault="001D1384" w:rsidP="001D1384">
      <w:pPr>
        <w:pStyle w:val="Default"/>
        <w:tabs>
          <w:tab w:val="left" w:pos="709"/>
        </w:tabs>
        <w:suppressAutoHyphens/>
        <w:autoSpaceDE/>
        <w:autoSpaceDN/>
        <w:adjustRightInd/>
        <w:spacing w:before="120" w:after="120" w:line="360" w:lineRule="atLeast"/>
        <w:jc w:val="both"/>
        <w:rPr>
          <w:u w:val="single"/>
        </w:rPr>
      </w:pPr>
      <w:r w:rsidRPr="009E3AC7">
        <w:rPr>
          <w:b/>
          <w:bCs/>
          <w:u w:val="single"/>
        </w:rPr>
        <w:t xml:space="preserve">For </w:t>
      </w:r>
      <w:r w:rsidR="00B430E2">
        <w:rPr>
          <w:b/>
          <w:bCs/>
          <w:u w:val="single"/>
        </w:rPr>
        <w:t>B</w:t>
      </w:r>
      <w:r w:rsidRPr="009E3AC7">
        <w:rPr>
          <w:b/>
          <w:bCs/>
          <w:u w:val="single"/>
        </w:rPr>
        <w:t>ook</w:t>
      </w:r>
      <w:r w:rsidR="00B430E2">
        <w:rPr>
          <w:b/>
          <w:bCs/>
          <w:u w:val="single"/>
        </w:rPr>
        <w:t>s</w:t>
      </w:r>
      <w:r w:rsidR="00B430E2" w:rsidRPr="00B430E2">
        <w:rPr>
          <w:b/>
          <w:bCs/>
        </w:rPr>
        <w:t>-</w:t>
      </w:r>
      <w:r w:rsidR="00B430E2" w:rsidRPr="00B430E2">
        <w:rPr>
          <w:b/>
          <w:iCs/>
        </w:rPr>
        <w:t xml:space="preserve"> </w:t>
      </w:r>
      <w:r w:rsidR="00B430E2" w:rsidRPr="00B430E2">
        <w:rPr>
          <w:b/>
          <w:iCs/>
        </w:rPr>
        <w:t>APA</w:t>
      </w:r>
      <w:r w:rsidR="00B430E2">
        <w:rPr>
          <w:b/>
          <w:iCs/>
        </w:rPr>
        <w:t xml:space="preserve"> style</w:t>
      </w:r>
    </w:p>
    <w:p w:rsidR="001D1384" w:rsidRPr="009E3AC7" w:rsidRDefault="001D1384" w:rsidP="001D1384">
      <w:pPr>
        <w:pStyle w:val="Default"/>
        <w:spacing w:before="120" w:after="120" w:line="360" w:lineRule="atLeast"/>
        <w:jc w:val="both"/>
      </w:pPr>
      <w:r w:rsidRPr="009E3AC7">
        <w:t xml:space="preserve">Foye, W. O. (2008). </w:t>
      </w:r>
      <w:r w:rsidRPr="009E3AC7">
        <w:rPr>
          <w:i/>
        </w:rPr>
        <w:t>Foye's Principles Of Medicinal Chemistry</w:t>
      </w:r>
      <w:r w:rsidRPr="009E3AC7">
        <w:t>. T. L. Lemke, &amp; D. A. Williams (Eds.). Lippincott Williams &amp; Wilkins, Page no.</w:t>
      </w:r>
    </w:p>
    <w:p w:rsidR="001D1384" w:rsidRPr="009E3AC7" w:rsidRDefault="001D1384" w:rsidP="001D1384">
      <w:pPr>
        <w:pStyle w:val="Default"/>
        <w:spacing w:before="120" w:after="120" w:line="360" w:lineRule="atLeast"/>
        <w:jc w:val="both"/>
      </w:pPr>
    </w:p>
    <w:p w:rsidR="001D1384" w:rsidRPr="009E3AC7" w:rsidRDefault="001D1384" w:rsidP="001D1384">
      <w:pPr>
        <w:spacing w:after="0" w:line="240" w:lineRule="auto"/>
        <w:jc w:val="center"/>
        <w:rPr>
          <w:rFonts w:ascii="Times New Roman" w:hAnsi="Times New Roman" w:cs="Times New Roman"/>
          <w:b/>
          <w:sz w:val="24"/>
        </w:rPr>
      </w:pPr>
    </w:p>
    <w:p w:rsidR="00664B3C" w:rsidRDefault="00664B3C"/>
    <w:sectPr w:rsidR="00664B3C" w:rsidSect="00F05659">
      <w:pgSz w:w="11906" w:h="16838"/>
      <w:pgMar w:top="1440" w:right="1440" w:bottom="1440" w:left="1440" w:header="28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D4" w:rsidRDefault="000E4ED4" w:rsidP="001D1384">
      <w:pPr>
        <w:spacing w:after="0" w:line="240" w:lineRule="auto"/>
      </w:pPr>
      <w:r>
        <w:separator/>
      </w:r>
    </w:p>
  </w:endnote>
  <w:endnote w:type="continuationSeparator" w:id="0">
    <w:p w:rsidR="000E4ED4" w:rsidRDefault="000E4ED4" w:rsidP="001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D4" w:rsidRDefault="000E4ED4" w:rsidP="001D1384">
      <w:pPr>
        <w:spacing w:after="0" w:line="240" w:lineRule="auto"/>
      </w:pPr>
      <w:r>
        <w:separator/>
      </w:r>
    </w:p>
  </w:footnote>
  <w:footnote w:type="continuationSeparator" w:id="0">
    <w:p w:rsidR="000E4ED4" w:rsidRDefault="000E4ED4" w:rsidP="001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72A07"/>
    <w:multiLevelType w:val="multilevel"/>
    <w:tmpl w:val="3182974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384"/>
    <w:rsid w:val="000E4ED4"/>
    <w:rsid w:val="001D1384"/>
    <w:rsid w:val="00664B3C"/>
    <w:rsid w:val="00681179"/>
    <w:rsid w:val="00B430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5F81"/>
  <w15:docId w15:val="{E6252652-FB14-4ECD-9316-24048C77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384"/>
    <w:rPr>
      <w:color w:val="0000FF"/>
      <w:u w:val="single"/>
    </w:rPr>
  </w:style>
  <w:style w:type="paragraph" w:customStyle="1" w:styleId="Default">
    <w:name w:val="Default"/>
    <w:rsid w:val="001D13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1D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84"/>
    <w:rPr>
      <w:rFonts w:ascii="Tahoma" w:hAnsi="Tahoma" w:cs="Tahoma"/>
      <w:sz w:val="16"/>
      <w:szCs w:val="16"/>
    </w:rPr>
  </w:style>
  <w:style w:type="paragraph" w:styleId="Header">
    <w:name w:val="header"/>
    <w:basedOn w:val="Normal"/>
    <w:link w:val="HeaderChar"/>
    <w:uiPriority w:val="99"/>
    <w:semiHidden/>
    <w:unhideWhenUsed/>
    <w:rsid w:val="001D13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1384"/>
  </w:style>
  <w:style w:type="paragraph" w:styleId="Footer">
    <w:name w:val="footer"/>
    <w:basedOn w:val="Normal"/>
    <w:link w:val="FooterChar"/>
    <w:uiPriority w:val="99"/>
    <w:semiHidden/>
    <w:unhideWhenUsed/>
    <w:rsid w:val="001D13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dsauruniversity.edu.in/"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hd@mandsauruniversity.edu.in" TargetMode="External"/><Relationship Id="rId4" Type="http://schemas.openxmlformats.org/officeDocument/2006/relationships/webSettings" Target="webSettings.xml"/><Relationship Id="rId9" Type="http://schemas.openxmlformats.org/officeDocument/2006/relationships/hyperlink" Target="mailto:info@mandsauruniversity.edu.in"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kratika</dc:creator>
  <cp:keywords/>
  <dc:description/>
  <cp:lastModifiedBy>hp</cp:lastModifiedBy>
  <cp:revision>4</cp:revision>
  <dcterms:created xsi:type="dcterms:W3CDTF">2016-09-08T10:20:00Z</dcterms:created>
  <dcterms:modified xsi:type="dcterms:W3CDTF">2021-02-10T04:31:00Z</dcterms:modified>
</cp:coreProperties>
</file>